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C8F" w:rsidRDefault="003F5EBA">
      <w:r>
        <w:t>CONTRASTE PROPUESTAS ELECTORALES MUNICIPALES 2019 VALENCIA</w:t>
      </w:r>
    </w:p>
    <w:p w:rsidR="003F5EBA" w:rsidRDefault="003F5EBA"/>
    <w:tbl>
      <w:tblPr>
        <w:tblStyle w:val="Tablaconcuadrcula"/>
        <w:tblW w:w="14278" w:type="dxa"/>
        <w:tblLayout w:type="fixed"/>
        <w:tblLook w:val="04A0" w:firstRow="1" w:lastRow="0" w:firstColumn="1" w:lastColumn="0" w:noHBand="0" w:noVBand="1"/>
      </w:tblPr>
      <w:tblGrid>
        <w:gridCol w:w="1555"/>
        <w:gridCol w:w="1953"/>
        <w:gridCol w:w="2154"/>
        <w:gridCol w:w="1988"/>
        <w:gridCol w:w="2320"/>
        <w:gridCol w:w="2154"/>
        <w:gridCol w:w="2154"/>
      </w:tblGrid>
      <w:tr w:rsidR="000F3D79" w:rsidRPr="003F5EBA" w:rsidTr="008B1238">
        <w:tc>
          <w:tcPr>
            <w:tcW w:w="1555" w:type="dxa"/>
          </w:tcPr>
          <w:p w:rsidR="003F5EBA" w:rsidRPr="003F5EBA" w:rsidRDefault="003F5E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</w:p>
        </w:tc>
        <w:tc>
          <w:tcPr>
            <w:tcW w:w="1953" w:type="dxa"/>
          </w:tcPr>
          <w:p w:rsidR="003F5EBA" w:rsidRPr="00EB42B9" w:rsidRDefault="003F5EBA" w:rsidP="00EB42B9">
            <w:pPr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B42B9">
              <w:rPr>
                <w:rFonts w:ascii="Arial Narrow" w:hAnsi="Arial Narrow" w:cstheme="majorHAnsi"/>
                <w:b/>
                <w:sz w:val="24"/>
                <w:szCs w:val="24"/>
              </w:rPr>
              <w:t>Eficiencia</w:t>
            </w:r>
            <w:r w:rsidR="00EB42B9">
              <w:rPr>
                <w:rFonts w:ascii="Arial Narrow" w:hAnsi="Arial Narrow" w:cstheme="majorHAnsi"/>
                <w:b/>
                <w:sz w:val="24"/>
                <w:szCs w:val="24"/>
              </w:rPr>
              <w:t xml:space="preserve"> y ahorro</w:t>
            </w:r>
          </w:p>
        </w:tc>
        <w:tc>
          <w:tcPr>
            <w:tcW w:w="2154" w:type="dxa"/>
          </w:tcPr>
          <w:p w:rsidR="003F5EBA" w:rsidRPr="00EB42B9" w:rsidRDefault="003F5EBA" w:rsidP="00EB42B9">
            <w:pPr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B42B9">
              <w:rPr>
                <w:rFonts w:ascii="Arial Narrow" w:hAnsi="Arial Narrow" w:cstheme="majorHAnsi"/>
                <w:b/>
                <w:sz w:val="24"/>
                <w:szCs w:val="24"/>
              </w:rPr>
              <w:t>Generación</w:t>
            </w:r>
          </w:p>
        </w:tc>
        <w:tc>
          <w:tcPr>
            <w:tcW w:w="1988" w:type="dxa"/>
          </w:tcPr>
          <w:p w:rsidR="003F5EBA" w:rsidRPr="00EB42B9" w:rsidRDefault="003F5EBA" w:rsidP="00EB42B9">
            <w:pPr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B42B9">
              <w:rPr>
                <w:rFonts w:ascii="Arial Narrow" w:hAnsi="Arial Narrow" w:cstheme="majorHAnsi"/>
                <w:b/>
                <w:sz w:val="24"/>
                <w:szCs w:val="24"/>
              </w:rPr>
              <w:t>Pobreza energética</w:t>
            </w:r>
          </w:p>
        </w:tc>
        <w:tc>
          <w:tcPr>
            <w:tcW w:w="2320" w:type="dxa"/>
          </w:tcPr>
          <w:p w:rsidR="003F5EBA" w:rsidRPr="00EB42B9" w:rsidRDefault="003F5EBA" w:rsidP="00EB42B9">
            <w:pPr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B42B9">
              <w:rPr>
                <w:rFonts w:ascii="Arial Narrow" w:hAnsi="Arial Narrow" w:cstheme="majorHAnsi"/>
                <w:b/>
                <w:sz w:val="24"/>
                <w:szCs w:val="24"/>
              </w:rPr>
              <w:t>Cultura energética</w:t>
            </w:r>
          </w:p>
        </w:tc>
        <w:tc>
          <w:tcPr>
            <w:tcW w:w="2154" w:type="dxa"/>
          </w:tcPr>
          <w:p w:rsidR="003F5EBA" w:rsidRPr="00EB42B9" w:rsidRDefault="00653653" w:rsidP="00EB42B9">
            <w:pPr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Cambio climático</w:t>
            </w:r>
          </w:p>
        </w:tc>
        <w:tc>
          <w:tcPr>
            <w:tcW w:w="2154" w:type="dxa"/>
          </w:tcPr>
          <w:p w:rsidR="003F5EBA" w:rsidRPr="00EB42B9" w:rsidRDefault="00CA76F9" w:rsidP="00EB42B9">
            <w:pPr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Vínculos con v</w:t>
            </w:r>
            <w:r w:rsidR="00AE1B3B" w:rsidRPr="00EB42B9">
              <w:rPr>
                <w:rFonts w:ascii="Arial Narrow" w:hAnsi="Arial Narrow" w:cstheme="majorHAnsi"/>
                <w:b/>
                <w:sz w:val="24"/>
                <w:szCs w:val="24"/>
              </w:rPr>
              <w:t>isión de ciudad</w:t>
            </w:r>
          </w:p>
        </w:tc>
      </w:tr>
      <w:tr w:rsidR="006122B0" w:rsidRPr="003F5EBA" w:rsidTr="008B1238">
        <w:tc>
          <w:tcPr>
            <w:tcW w:w="1555" w:type="dxa"/>
          </w:tcPr>
          <w:p w:rsidR="004456E4" w:rsidRDefault="004456E4" w:rsidP="006122B0">
            <w:pPr>
              <w:rPr>
                <w:rFonts w:ascii="Arial Narrow" w:hAnsi="Arial Narrow" w:cstheme="majorHAnsi"/>
                <w:sz w:val="24"/>
                <w:szCs w:val="24"/>
              </w:rPr>
            </w:pPr>
          </w:p>
          <w:p w:rsidR="004456E4" w:rsidRDefault="004456E4" w:rsidP="006122B0">
            <w:pPr>
              <w:rPr>
                <w:rFonts w:ascii="Arial Narrow" w:hAnsi="Arial Narrow" w:cstheme="majorHAnsi"/>
                <w:sz w:val="24"/>
                <w:szCs w:val="24"/>
              </w:rPr>
            </w:pPr>
          </w:p>
          <w:p w:rsidR="004456E4" w:rsidRDefault="004456E4" w:rsidP="006122B0">
            <w:pPr>
              <w:rPr>
                <w:rFonts w:ascii="Arial Narrow" w:hAnsi="Arial Narrow" w:cstheme="majorHAnsi"/>
                <w:sz w:val="24"/>
                <w:szCs w:val="24"/>
              </w:rPr>
            </w:pPr>
          </w:p>
          <w:p w:rsidR="004456E4" w:rsidRDefault="004456E4" w:rsidP="006122B0">
            <w:pPr>
              <w:rPr>
                <w:rFonts w:ascii="Arial Narrow" w:hAnsi="Arial Narrow" w:cstheme="majorHAnsi"/>
                <w:sz w:val="24"/>
                <w:szCs w:val="24"/>
              </w:rPr>
            </w:pPr>
          </w:p>
          <w:p w:rsidR="004456E4" w:rsidRPr="003F5EBA" w:rsidRDefault="004456E4" w:rsidP="006122B0">
            <w:pPr>
              <w:rPr>
                <w:rFonts w:ascii="Arial Narrow" w:hAnsi="Arial Narrow" w:cstheme="majorHAnsi"/>
                <w:sz w:val="24"/>
                <w:szCs w:val="24"/>
              </w:rPr>
            </w:pPr>
            <w:r>
              <w:rPr>
                <w:rFonts w:ascii="Arial Narrow" w:hAnsi="Arial Narrow" w:cstheme="majorHAnsi"/>
                <w:noProof/>
                <w:sz w:val="24"/>
                <w:szCs w:val="24"/>
              </w:rPr>
              <w:drawing>
                <wp:inline distT="0" distB="0" distL="0" distR="0">
                  <wp:extent cx="865507" cy="200025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mpr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159" cy="20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3" w:type="dxa"/>
          </w:tcPr>
          <w:p w:rsidR="006122B0" w:rsidRPr="003F5EBA" w:rsidRDefault="006122B0" w:rsidP="00612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Continuar medidas reducción consumo (Plan Especial Iluminación Sostenible); Comercializadora pública municipal; continuar eficiencia en ciclo integral del agua</w:t>
            </w:r>
          </w:p>
        </w:tc>
        <w:tc>
          <w:tcPr>
            <w:tcW w:w="2154" w:type="dxa"/>
          </w:tcPr>
          <w:p w:rsidR="006122B0" w:rsidRPr="003F5EBA" w:rsidRDefault="006122B0" w:rsidP="00612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Impulso a energías renovables; comercializadora pública municipal</w:t>
            </w:r>
          </w:p>
        </w:tc>
        <w:tc>
          <w:tcPr>
            <w:tcW w:w="1988" w:type="dxa"/>
          </w:tcPr>
          <w:p w:rsidR="006122B0" w:rsidRPr="003F5EBA" w:rsidRDefault="006122B0" w:rsidP="00612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Garantía de suministros básicos, coordinación y formación a familias sobre usos responsables; comercializadora pública municipal</w:t>
            </w:r>
          </w:p>
        </w:tc>
        <w:tc>
          <w:tcPr>
            <w:tcW w:w="2320" w:type="dxa"/>
          </w:tcPr>
          <w:p w:rsidR="006122B0" w:rsidRPr="003F5EBA" w:rsidRDefault="006122B0" w:rsidP="00612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Nuevo contrato de suministro municipal 100% renovable, posibilidad compra directa mercado eléctrico; reactivación de polígonos industriales para economía verde y circular; reducción fiscalidad a proyectos verdes y sostenibles; innovación para la transición a la ciudad sostenible</w:t>
            </w:r>
          </w:p>
        </w:tc>
        <w:tc>
          <w:tcPr>
            <w:tcW w:w="2154" w:type="dxa"/>
          </w:tcPr>
          <w:p w:rsidR="006122B0" w:rsidRPr="003F5EBA" w:rsidRDefault="006122B0" w:rsidP="00612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Completar red de control de contaminación atmosférica; renaturalización de la ciudad; política verde en gestión de infraestructura verde; fortalecer gobernanza ambiental</w:t>
            </w:r>
          </w:p>
        </w:tc>
        <w:tc>
          <w:tcPr>
            <w:tcW w:w="2154" w:type="dxa"/>
          </w:tcPr>
          <w:p w:rsidR="006122B0" w:rsidRPr="003F5EBA" w:rsidRDefault="006122B0" w:rsidP="00612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Ciudad verde y sostenible; nueva economía urbana del conocimiento, que usa menos energía; Valencia amable; Ciudad en crecimiento sobre sí misma;</w:t>
            </w:r>
          </w:p>
        </w:tc>
      </w:tr>
      <w:tr w:rsidR="006122B0" w:rsidRPr="003F5EBA" w:rsidTr="008B1238">
        <w:tc>
          <w:tcPr>
            <w:tcW w:w="1555" w:type="dxa"/>
          </w:tcPr>
          <w:p w:rsidR="006122B0" w:rsidRDefault="006122B0" w:rsidP="006122B0">
            <w:pPr>
              <w:rPr>
                <w:rFonts w:ascii="Arial Narrow" w:hAnsi="Arial Narrow" w:cstheme="majorHAnsi"/>
                <w:sz w:val="24"/>
                <w:szCs w:val="24"/>
              </w:rPr>
            </w:pPr>
          </w:p>
          <w:p w:rsidR="004456E4" w:rsidRDefault="004456E4" w:rsidP="006122B0">
            <w:pPr>
              <w:rPr>
                <w:rFonts w:ascii="Arial Narrow" w:hAnsi="Arial Narrow" w:cstheme="majorHAnsi"/>
                <w:sz w:val="24"/>
                <w:szCs w:val="24"/>
              </w:rPr>
            </w:pPr>
            <w:r>
              <w:rPr>
                <w:rFonts w:ascii="Arial Narrow" w:hAnsi="Arial Narrow" w:cstheme="majorHAnsi"/>
                <w:noProof/>
                <w:sz w:val="24"/>
                <w:szCs w:val="24"/>
              </w:rPr>
              <w:drawing>
                <wp:inline distT="0" distB="0" distL="0" distR="0" wp14:anchorId="57D5D97B" wp14:editId="42053B6B">
                  <wp:extent cx="722630" cy="379730"/>
                  <wp:effectExtent l="0" t="0" r="1270" b="127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spv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3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56E4" w:rsidRPr="003F5EBA" w:rsidRDefault="004456E4" w:rsidP="006122B0">
            <w:pPr>
              <w:rPr>
                <w:rFonts w:ascii="Arial Narrow" w:hAnsi="Arial Narrow" w:cstheme="majorHAnsi"/>
                <w:sz w:val="24"/>
                <w:szCs w:val="24"/>
              </w:rPr>
            </w:pPr>
          </w:p>
        </w:tc>
        <w:tc>
          <w:tcPr>
            <w:tcW w:w="1953" w:type="dxa"/>
          </w:tcPr>
          <w:p w:rsidR="006122B0" w:rsidRPr="003F5EBA" w:rsidRDefault="006122B0" w:rsidP="00612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Plan municipal rehabilitación y eficiencia energética</w:t>
            </w:r>
          </w:p>
        </w:tc>
        <w:tc>
          <w:tcPr>
            <w:tcW w:w="2154" w:type="dxa"/>
          </w:tcPr>
          <w:p w:rsidR="006122B0" w:rsidRPr="003F5EBA" w:rsidRDefault="006122B0" w:rsidP="006122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8" w:type="dxa"/>
          </w:tcPr>
          <w:p w:rsidR="006122B0" w:rsidRPr="003F5EBA" w:rsidRDefault="006122B0" w:rsidP="00612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Mejora convenios con empresas suministradoras</w:t>
            </w:r>
          </w:p>
        </w:tc>
        <w:tc>
          <w:tcPr>
            <w:tcW w:w="2320" w:type="dxa"/>
          </w:tcPr>
          <w:p w:rsidR="006122B0" w:rsidRPr="003F5EBA" w:rsidRDefault="006122B0" w:rsidP="00612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Impulso de recorridos a pie; impulso al vehículo eléctrico; barrios 30</w:t>
            </w:r>
          </w:p>
        </w:tc>
        <w:tc>
          <w:tcPr>
            <w:tcW w:w="2154" w:type="dxa"/>
          </w:tcPr>
          <w:p w:rsidR="006122B0" w:rsidRPr="003F5EBA" w:rsidRDefault="006122B0" w:rsidP="00612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Agencia municipal de la energía; estudio escenario Valencia 2030; mapa de la Valencia sostenible</w:t>
            </w:r>
          </w:p>
        </w:tc>
        <w:tc>
          <w:tcPr>
            <w:tcW w:w="2154" w:type="dxa"/>
          </w:tcPr>
          <w:p w:rsidR="006122B0" w:rsidRPr="003F5EBA" w:rsidRDefault="006122B0" w:rsidP="00612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Valencia capital mediterránea de la nueva economía, estrategia económica metropolitana, Valencia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Tech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City</w:t>
            </w:r>
          </w:p>
        </w:tc>
      </w:tr>
      <w:tr w:rsidR="008B1238" w:rsidRPr="003F5EBA" w:rsidTr="008B1238">
        <w:tc>
          <w:tcPr>
            <w:tcW w:w="1555" w:type="dxa"/>
          </w:tcPr>
          <w:p w:rsidR="008B1238" w:rsidRDefault="008B1238" w:rsidP="006122B0">
            <w:pPr>
              <w:rPr>
                <w:rFonts w:ascii="Arial Narrow" w:hAnsi="Arial Narrow" w:cstheme="majorHAnsi"/>
                <w:sz w:val="24"/>
                <w:szCs w:val="24"/>
              </w:rPr>
            </w:pPr>
          </w:p>
          <w:p w:rsidR="008B1238" w:rsidRDefault="008B1238" w:rsidP="006122B0">
            <w:pPr>
              <w:rPr>
                <w:rFonts w:ascii="Arial Narrow" w:hAnsi="Arial Narrow" w:cstheme="majorHAnsi"/>
                <w:sz w:val="24"/>
                <w:szCs w:val="24"/>
              </w:rPr>
            </w:pPr>
            <w:r>
              <w:rPr>
                <w:rFonts w:ascii="Arial Narrow" w:hAnsi="Arial Narrow" w:cstheme="majorHAnsi"/>
                <w:noProof/>
                <w:sz w:val="24"/>
                <w:szCs w:val="24"/>
              </w:rPr>
              <w:drawing>
                <wp:inline distT="0" distB="0" distL="0" distR="0" wp14:anchorId="0731AE68" wp14:editId="17FC6FC0">
                  <wp:extent cx="722630" cy="228600"/>
                  <wp:effectExtent l="0" t="0" r="127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ida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3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1238" w:rsidRDefault="008B1238" w:rsidP="006122B0">
            <w:pPr>
              <w:rPr>
                <w:rFonts w:ascii="Arial Narrow" w:hAnsi="Arial Narrow" w:cstheme="majorHAnsi"/>
                <w:sz w:val="24"/>
                <w:szCs w:val="24"/>
              </w:rPr>
            </w:pPr>
          </w:p>
        </w:tc>
        <w:tc>
          <w:tcPr>
            <w:tcW w:w="1953" w:type="dxa"/>
          </w:tcPr>
          <w:p w:rsidR="008B1238" w:rsidRDefault="008B1238" w:rsidP="00612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Plan de reforma energética de los edificios</w:t>
            </w:r>
          </w:p>
        </w:tc>
        <w:tc>
          <w:tcPr>
            <w:tcW w:w="2154" w:type="dxa"/>
          </w:tcPr>
          <w:p w:rsidR="008B1238" w:rsidRPr="003F5EBA" w:rsidRDefault="008B1238" w:rsidP="00612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Empresa Municipal de Energía para comercializar y producir energía renovable</w:t>
            </w:r>
          </w:p>
        </w:tc>
        <w:tc>
          <w:tcPr>
            <w:tcW w:w="1988" w:type="dxa"/>
          </w:tcPr>
          <w:p w:rsidR="008B1238" w:rsidRDefault="008B1238" w:rsidP="00612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Empresa Municipal de Energía</w:t>
            </w:r>
          </w:p>
        </w:tc>
        <w:tc>
          <w:tcPr>
            <w:tcW w:w="2320" w:type="dxa"/>
          </w:tcPr>
          <w:p w:rsidR="008B1238" w:rsidRDefault="008B1238" w:rsidP="00612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Mejora del transporte público, título único; cambios en hábitos de consumo; fomento economía circular</w:t>
            </w:r>
          </w:p>
        </w:tc>
        <w:tc>
          <w:tcPr>
            <w:tcW w:w="2154" w:type="dxa"/>
          </w:tcPr>
          <w:p w:rsidR="008B1238" w:rsidRDefault="008B1238" w:rsidP="00612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Reducción efectiva del consumo energético urbano; Oficina de Seguimiento de la Transición Energética; fomento de la biodiversidad urbana</w:t>
            </w:r>
          </w:p>
        </w:tc>
        <w:tc>
          <w:tcPr>
            <w:tcW w:w="2154" w:type="dxa"/>
          </w:tcPr>
          <w:p w:rsidR="008B1238" w:rsidRDefault="008B1238" w:rsidP="008B12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València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Ciutat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Ciutats</w:t>
            </w:r>
            <w:proofErr w:type="spellEnd"/>
          </w:p>
        </w:tc>
      </w:tr>
      <w:bookmarkEnd w:id="0"/>
    </w:tbl>
    <w:p w:rsidR="006122B0" w:rsidRDefault="006122B0"/>
    <w:tbl>
      <w:tblPr>
        <w:tblStyle w:val="Tablaconcuadrcula"/>
        <w:tblW w:w="14278" w:type="dxa"/>
        <w:tblLayout w:type="fixed"/>
        <w:tblLook w:val="04A0" w:firstRow="1" w:lastRow="0" w:firstColumn="1" w:lastColumn="0" w:noHBand="0" w:noVBand="1"/>
      </w:tblPr>
      <w:tblGrid>
        <w:gridCol w:w="1354"/>
        <w:gridCol w:w="2154"/>
        <w:gridCol w:w="2154"/>
        <w:gridCol w:w="2154"/>
        <w:gridCol w:w="2154"/>
        <w:gridCol w:w="2154"/>
        <w:gridCol w:w="2154"/>
      </w:tblGrid>
      <w:tr w:rsidR="006122B0" w:rsidRPr="003F5EBA" w:rsidTr="000F3D79">
        <w:tc>
          <w:tcPr>
            <w:tcW w:w="1354" w:type="dxa"/>
          </w:tcPr>
          <w:p w:rsidR="004456E4" w:rsidRDefault="004456E4" w:rsidP="006122B0">
            <w:pPr>
              <w:rPr>
                <w:rFonts w:ascii="Arial Narrow" w:hAnsi="Arial Narrow" w:cstheme="majorHAnsi"/>
                <w:sz w:val="24"/>
                <w:szCs w:val="24"/>
              </w:rPr>
            </w:pPr>
          </w:p>
          <w:p w:rsidR="006122B0" w:rsidRPr="003F5EBA" w:rsidRDefault="004456E4" w:rsidP="006122B0">
            <w:pPr>
              <w:rPr>
                <w:rFonts w:ascii="Arial Narrow" w:hAnsi="Arial Narrow" w:cstheme="majorHAnsi"/>
                <w:sz w:val="24"/>
                <w:szCs w:val="24"/>
              </w:rPr>
            </w:pPr>
            <w:r>
              <w:rPr>
                <w:rFonts w:ascii="Arial Narrow" w:hAnsi="Arial Narrow" w:cstheme="majorHAnsi"/>
                <w:noProof/>
                <w:sz w:val="24"/>
                <w:szCs w:val="24"/>
              </w:rPr>
              <w:drawing>
                <wp:inline distT="0" distB="0" distL="0" distR="0">
                  <wp:extent cx="722630" cy="719455"/>
                  <wp:effectExtent l="0" t="0" r="127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scarg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3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</w:tcPr>
          <w:p w:rsidR="006122B0" w:rsidRPr="003F5EBA" w:rsidRDefault="006122B0" w:rsidP="00612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Estudiar bonificación del IBI; plan de ahorro energético y fomento de las renovables; mejorar alumbrado en las calles; certificación energética de edificios municipales</w:t>
            </w:r>
          </w:p>
        </w:tc>
        <w:tc>
          <w:tcPr>
            <w:tcW w:w="2154" w:type="dxa"/>
          </w:tcPr>
          <w:p w:rsidR="006122B0" w:rsidRPr="003F5EBA" w:rsidRDefault="006122B0" w:rsidP="00612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Bonificación 50% I</w:t>
            </w:r>
            <w:r w:rsidR="001A445E">
              <w:rPr>
                <w:rFonts w:asciiTheme="majorHAnsi" w:hAnsiTheme="majorHAnsi" w:cstheme="majorHAnsi"/>
                <w:sz w:val="20"/>
                <w:szCs w:val="20"/>
              </w:rPr>
              <w:t>AE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 empresas que usen energías renovables</w:t>
            </w:r>
          </w:p>
        </w:tc>
        <w:tc>
          <w:tcPr>
            <w:tcW w:w="2154" w:type="dxa"/>
          </w:tcPr>
          <w:p w:rsidR="006122B0" w:rsidRPr="003F5EBA" w:rsidRDefault="006122B0" w:rsidP="006122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54" w:type="dxa"/>
          </w:tcPr>
          <w:p w:rsidR="006122B0" w:rsidRPr="003F5EBA" w:rsidRDefault="006122B0" w:rsidP="00612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Priorizar al peatón; regular nuevas modalidades de movilidad sostenible; red recarga para vehículos eléctricos; marca “jardines educativos”</w:t>
            </w:r>
          </w:p>
        </w:tc>
        <w:tc>
          <w:tcPr>
            <w:tcW w:w="2154" w:type="dxa"/>
          </w:tcPr>
          <w:p w:rsidR="006122B0" w:rsidRPr="003F5EBA" w:rsidRDefault="006122B0" w:rsidP="00612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Desarrollar medidas de adaptación al cambio climático; condiciones sostenibilidad en pliegos de obra</w:t>
            </w:r>
          </w:p>
        </w:tc>
        <w:tc>
          <w:tcPr>
            <w:tcW w:w="2154" w:type="dxa"/>
          </w:tcPr>
          <w:p w:rsidR="006122B0" w:rsidRPr="003F5EBA" w:rsidRDefault="006122B0" w:rsidP="00612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Valencia Smart City</w:t>
            </w:r>
          </w:p>
        </w:tc>
      </w:tr>
      <w:tr w:rsidR="006122B0" w:rsidRPr="003F5EBA" w:rsidTr="000F3D79">
        <w:tc>
          <w:tcPr>
            <w:tcW w:w="1354" w:type="dxa"/>
          </w:tcPr>
          <w:p w:rsidR="006122B0" w:rsidRDefault="006122B0" w:rsidP="006122B0">
            <w:pPr>
              <w:rPr>
                <w:rFonts w:ascii="Arial Narrow" w:hAnsi="Arial Narrow" w:cstheme="majorHAnsi"/>
                <w:sz w:val="24"/>
                <w:szCs w:val="24"/>
              </w:rPr>
            </w:pPr>
          </w:p>
          <w:p w:rsidR="004456E4" w:rsidRDefault="004456E4" w:rsidP="006122B0">
            <w:pPr>
              <w:rPr>
                <w:rFonts w:ascii="Arial Narrow" w:hAnsi="Arial Narrow" w:cstheme="majorHAnsi"/>
                <w:sz w:val="24"/>
                <w:szCs w:val="24"/>
              </w:rPr>
            </w:pPr>
          </w:p>
          <w:p w:rsidR="004456E4" w:rsidRDefault="004456E4" w:rsidP="006122B0">
            <w:pPr>
              <w:rPr>
                <w:rFonts w:ascii="Arial Narrow" w:hAnsi="Arial Narrow" w:cstheme="majorHAnsi"/>
                <w:sz w:val="24"/>
                <w:szCs w:val="24"/>
              </w:rPr>
            </w:pPr>
          </w:p>
          <w:p w:rsidR="004456E4" w:rsidRDefault="004456E4" w:rsidP="006122B0">
            <w:pPr>
              <w:rPr>
                <w:rFonts w:ascii="Arial Narrow" w:hAnsi="Arial Narrow" w:cstheme="majorHAnsi"/>
                <w:sz w:val="24"/>
                <w:szCs w:val="24"/>
              </w:rPr>
            </w:pPr>
          </w:p>
          <w:p w:rsidR="004456E4" w:rsidRDefault="004456E4" w:rsidP="006122B0">
            <w:pPr>
              <w:rPr>
                <w:rFonts w:ascii="Arial Narrow" w:hAnsi="Arial Narrow" w:cstheme="majorHAnsi"/>
                <w:sz w:val="24"/>
                <w:szCs w:val="24"/>
              </w:rPr>
            </w:pPr>
          </w:p>
          <w:p w:rsidR="004456E4" w:rsidRDefault="004456E4" w:rsidP="006122B0">
            <w:pPr>
              <w:rPr>
                <w:rFonts w:ascii="Arial Narrow" w:hAnsi="Arial Narrow" w:cstheme="majorHAnsi"/>
                <w:sz w:val="24"/>
                <w:szCs w:val="24"/>
              </w:rPr>
            </w:pPr>
          </w:p>
          <w:p w:rsidR="004456E4" w:rsidRDefault="004456E4" w:rsidP="006122B0">
            <w:pPr>
              <w:rPr>
                <w:rFonts w:ascii="Arial Narrow" w:hAnsi="Arial Narrow" w:cstheme="majorHAnsi"/>
                <w:sz w:val="24"/>
                <w:szCs w:val="24"/>
              </w:rPr>
            </w:pPr>
          </w:p>
          <w:p w:rsidR="004456E4" w:rsidRDefault="004456E4" w:rsidP="006122B0">
            <w:pPr>
              <w:rPr>
                <w:rFonts w:ascii="Arial Narrow" w:hAnsi="Arial Narrow" w:cstheme="majorHAnsi"/>
                <w:sz w:val="24"/>
                <w:szCs w:val="24"/>
              </w:rPr>
            </w:pPr>
          </w:p>
          <w:p w:rsidR="004456E4" w:rsidRPr="003F5EBA" w:rsidRDefault="004456E4" w:rsidP="006122B0">
            <w:pPr>
              <w:rPr>
                <w:rFonts w:ascii="Arial Narrow" w:hAnsi="Arial Narrow" w:cstheme="majorHAnsi"/>
                <w:sz w:val="24"/>
                <w:szCs w:val="24"/>
              </w:rPr>
            </w:pPr>
            <w:r>
              <w:rPr>
                <w:rFonts w:ascii="Arial Narrow" w:hAnsi="Arial Narrow" w:cstheme="majorHAnsi"/>
                <w:noProof/>
                <w:sz w:val="24"/>
                <w:szCs w:val="24"/>
              </w:rPr>
              <w:drawing>
                <wp:inline distT="0" distB="0" distL="0" distR="0">
                  <wp:extent cx="722630" cy="722630"/>
                  <wp:effectExtent l="0" t="0" r="1270" b="127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iu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30" cy="7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</w:tcPr>
          <w:p w:rsidR="006122B0" w:rsidRPr="003F5EBA" w:rsidRDefault="006122B0" w:rsidP="00612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Plan de rehabilitación de viviendas en base a zonas estratégicas de rehabilitación; medición inteligente consumos energía y agua y posibles bonificaciones; subvenciones y fórmulas de financiación de eficiencia de viviendas con empresas servicios energéticos; auditoría de iluminación defectuosa</w:t>
            </w:r>
          </w:p>
        </w:tc>
        <w:tc>
          <w:tcPr>
            <w:tcW w:w="2154" w:type="dxa"/>
          </w:tcPr>
          <w:p w:rsidR="006122B0" w:rsidRPr="003F5EBA" w:rsidRDefault="006122B0" w:rsidP="006122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54" w:type="dxa"/>
          </w:tcPr>
          <w:p w:rsidR="006122B0" w:rsidRPr="003F5EBA" w:rsidRDefault="006122B0" w:rsidP="006122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54" w:type="dxa"/>
          </w:tcPr>
          <w:p w:rsidR="006122B0" w:rsidRPr="003F5EBA" w:rsidRDefault="006122B0" w:rsidP="00612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Transición progresiva del vehículo privado (combustible fósil) hacia modos más sostenibles (caminar, bicicleta, movilidad eléctrica, transporte público) sin generar disputas; aparcamientos de interconexión modal; Plan Director Bicicleta; actualizar PMUS; 100 puntos carga eléctrica y ayudas puestos recarga en edificios y barrios; parque móvil municipal menos contaminante; modelo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sharing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vehículos eléctricos; financiación adecuada movilidad metropolitana; carriles VAO</w:t>
            </w:r>
          </w:p>
        </w:tc>
        <w:tc>
          <w:tcPr>
            <w:tcW w:w="2154" w:type="dxa"/>
          </w:tcPr>
          <w:p w:rsidR="006122B0" w:rsidRPr="003F5EBA" w:rsidRDefault="006122B0" w:rsidP="00612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Minimizar contaminación atmosférica, lumínica y acústica; Mesa de Seguimiento de Grandes Proyectos de infraestructuras; Área unificada de Movilidad Sostenible y Calidad de Vida; Movilidad sostenible segura, cómoda y con diálogo; Sectorización por barrios y mapa contaminación CO</w:t>
            </w:r>
            <w:r w:rsidRPr="00653653">
              <w:rPr>
                <w:rFonts w:asciiTheme="majorHAnsi" w:hAnsiTheme="majorHAnsi" w:cstheme="majorHAnsi"/>
                <w:sz w:val="20"/>
                <w:szCs w:val="20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; nuevo dpto. para localizar financiación europea; todo nuevo edificio municipal de ‘emisiones cero’</w:t>
            </w:r>
          </w:p>
        </w:tc>
        <w:tc>
          <w:tcPr>
            <w:tcW w:w="2154" w:type="dxa"/>
          </w:tcPr>
          <w:p w:rsidR="006122B0" w:rsidRPr="003F5EBA" w:rsidRDefault="006122B0" w:rsidP="00612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Valencia Capital Mediterránea Inteligente; Valencia huerta y jardín de Europa” en base a una economía viable</w:t>
            </w:r>
          </w:p>
        </w:tc>
      </w:tr>
    </w:tbl>
    <w:p w:rsidR="003F5EBA" w:rsidRDefault="003F5EBA"/>
    <w:sectPr w:rsidR="003F5EBA" w:rsidSect="003F5EB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A4693"/>
    <w:multiLevelType w:val="hybridMultilevel"/>
    <w:tmpl w:val="E5BAAAE6"/>
    <w:lvl w:ilvl="0" w:tplc="500681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BA"/>
    <w:rsid w:val="000B1234"/>
    <w:rsid w:val="000F3D79"/>
    <w:rsid w:val="00135FB6"/>
    <w:rsid w:val="001A29B6"/>
    <w:rsid w:val="001A445E"/>
    <w:rsid w:val="002F4DC5"/>
    <w:rsid w:val="003F5EBA"/>
    <w:rsid w:val="004456E4"/>
    <w:rsid w:val="006122B0"/>
    <w:rsid w:val="00653653"/>
    <w:rsid w:val="00722E66"/>
    <w:rsid w:val="007C07F6"/>
    <w:rsid w:val="007E6EDB"/>
    <w:rsid w:val="00855029"/>
    <w:rsid w:val="008B1238"/>
    <w:rsid w:val="00945155"/>
    <w:rsid w:val="009702BD"/>
    <w:rsid w:val="00985AA6"/>
    <w:rsid w:val="00996C8F"/>
    <w:rsid w:val="00AC648B"/>
    <w:rsid w:val="00AE1B3B"/>
    <w:rsid w:val="00BD3312"/>
    <w:rsid w:val="00C10092"/>
    <w:rsid w:val="00C42E22"/>
    <w:rsid w:val="00CA72D8"/>
    <w:rsid w:val="00CA76F9"/>
    <w:rsid w:val="00D12C3F"/>
    <w:rsid w:val="00DB15DC"/>
    <w:rsid w:val="00EB42B9"/>
    <w:rsid w:val="00F25495"/>
    <w:rsid w:val="00FC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7DD7"/>
  <w15:chartTrackingRefBased/>
  <w15:docId w15:val="{9F37482B-5342-4954-8FAE-F496691F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5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C.</dc:creator>
  <cp:keywords/>
  <dc:description/>
  <cp:lastModifiedBy>Iván C.</cp:lastModifiedBy>
  <cp:revision>19</cp:revision>
  <dcterms:created xsi:type="dcterms:W3CDTF">2019-05-20T09:29:00Z</dcterms:created>
  <dcterms:modified xsi:type="dcterms:W3CDTF">2019-05-21T10:57:00Z</dcterms:modified>
</cp:coreProperties>
</file>